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74CA" w14:textId="77777777" w:rsidR="001F536E" w:rsidRDefault="001F536E" w:rsidP="00BE6B43">
      <w:pPr>
        <w:pStyle w:val="Default"/>
        <w:jc w:val="both"/>
      </w:pPr>
    </w:p>
    <w:p w14:paraId="570063BD" w14:textId="77777777" w:rsidR="001F536E" w:rsidRPr="00F97244" w:rsidRDefault="001F536E" w:rsidP="00F97244">
      <w:pPr>
        <w:pStyle w:val="Default"/>
        <w:jc w:val="center"/>
        <w:rPr>
          <w:b/>
          <w:sz w:val="28"/>
          <w:szCs w:val="28"/>
        </w:rPr>
      </w:pPr>
      <w:r w:rsidRPr="00F97244">
        <w:rPr>
          <w:b/>
          <w:sz w:val="28"/>
          <w:szCs w:val="28"/>
        </w:rPr>
        <w:t>Du héros à l’Eros, parti pris subjectif</w:t>
      </w:r>
    </w:p>
    <w:p w14:paraId="44FF3B40" w14:textId="77777777" w:rsidR="001F536E" w:rsidRPr="00F97244" w:rsidRDefault="001F536E" w:rsidP="00F97244">
      <w:pPr>
        <w:pStyle w:val="Default"/>
        <w:jc w:val="center"/>
        <w:rPr>
          <w:b/>
          <w:sz w:val="28"/>
          <w:szCs w:val="28"/>
        </w:rPr>
      </w:pPr>
    </w:p>
    <w:p w14:paraId="0E90EE2E" w14:textId="77777777" w:rsidR="001F536E" w:rsidRDefault="001F536E" w:rsidP="001F536E">
      <w:pPr>
        <w:pStyle w:val="Default"/>
        <w:jc w:val="right"/>
        <w:rPr>
          <w:b/>
        </w:rPr>
      </w:pPr>
    </w:p>
    <w:p w14:paraId="690E0BB6" w14:textId="77777777" w:rsidR="001F536E" w:rsidRPr="001F536E" w:rsidRDefault="001F536E" w:rsidP="001F536E">
      <w:pPr>
        <w:pStyle w:val="Default"/>
        <w:jc w:val="right"/>
        <w:rPr>
          <w:b/>
        </w:rPr>
      </w:pPr>
      <w:r>
        <w:rPr>
          <w:b/>
        </w:rPr>
        <w:t>Guillaume RIEDLIN</w:t>
      </w:r>
    </w:p>
    <w:p w14:paraId="5AE43D60" w14:textId="77777777" w:rsidR="001F536E" w:rsidRDefault="001F536E" w:rsidP="00BE6B43">
      <w:pPr>
        <w:pStyle w:val="Default"/>
        <w:jc w:val="both"/>
      </w:pPr>
    </w:p>
    <w:p w14:paraId="01137A2C" w14:textId="77777777" w:rsidR="001F536E" w:rsidRDefault="001F536E" w:rsidP="001F536E">
      <w:pPr>
        <w:jc w:val="right"/>
        <w:rPr>
          <w:rFonts w:ascii="Times New Roman" w:hAnsi="Times New Roman"/>
          <w:i/>
          <w:color w:val="000000"/>
          <w:sz w:val="24"/>
          <w:szCs w:val="24"/>
        </w:rPr>
      </w:pPr>
    </w:p>
    <w:p w14:paraId="6342ABD8" w14:textId="77777777" w:rsidR="001F536E" w:rsidRDefault="001F536E" w:rsidP="001F536E">
      <w:pPr>
        <w:jc w:val="right"/>
        <w:rPr>
          <w:rFonts w:ascii="Times New Roman" w:hAnsi="Times New Roman"/>
          <w:i/>
          <w:color w:val="000000"/>
          <w:sz w:val="24"/>
          <w:szCs w:val="24"/>
        </w:rPr>
      </w:pPr>
    </w:p>
    <w:p w14:paraId="0FC770B7" w14:textId="77777777" w:rsidR="001F536E" w:rsidRDefault="001F536E" w:rsidP="001F536E">
      <w:pPr>
        <w:jc w:val="right"/>
        <w:rPr>
          <w:rFonts w:ascii="Times New Roman" w:hAnsi="Times New Roman"/>
          <w:i/>
          <w:color w:val="000000"/>
          <w:sz w:val="24"/>
          <w:szCs w:val="24"/>
        </w:rPr>
      </w:pPr>
      <w:r>
        <w:rPr>
          <w:rFonts w:ascii="Times New Roman" w:hAnsi="Times New Roman"/>
          <w:i/>
          <w:color w:val="000000"/>
          <w:sz w:val="24"/>
          <w:szCs w:val="24"/>
        </w:rPr>
        <w:t>« </w:t>
      </w:r>
      <w:r w:rsidRPr="001F536E">
        <w:rPr>
          <w:rFonts w:ascii="Times New Roman" w:hAnsi="Times New Roman"/>
          <w:i/>
          <w:color w:val="000000"/>
          <w:sz w:val="24"/>
          <w:szCs w:val="24"/>
        </w:rPr>
        <w:t>En chacun de nous, il y a la voie tracée pour un héros.</w:t>
      </w:r>
      <w:r>
        <w:rPr>
          <w:rFonts w:ascii="Times New Roman" w:hAnsi="Times New Roman"/>
          <w:i/>
          <w:color w:val="000000"/>
          <w:sz w:val="24"/>
          <w:szCs w:val="24"/>
        </w:rPr>
        <w:t> »,</w:t>
      </w:r>
    </w:p>
    <w:p w14:paraId="713BC2FE" w14:textId="77777777" w:rsidR="001F536E" w:rsidRPr="001F536E" w:rsidRDefault="001F536E" w:rsidP="001F536E">
      <w:pPr>
        <w:jc w:val="right"/>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J. Lacan, séminaire VII, L’éthique de la psychanalyse</w:t>
      </w:r>
    </w:p>
    <w:p w14:paraId="1CB4720D" w14:textId="77777777" w:rsidR="001F536E" w:rsidRPr="001F536E" w:rsidRDefault="001F536E" w:rsidP="00BE6B43">
      <w:pPr>
        <w:pStyle w:val="Default"/>
        <w:jc w:val="both"/>
        <w:rPr>
          <w:i/>
        </w:rPr>
      </w:pPr>
    </w:p>
    <w:p w14:paraId="5188263A" w14:textId="77777777" w:rsidR="001F536E" w:rsidRDefault="001F536E" w:rsidP="00BE6B43">
      <w:pPr>
        <w:pStyle w:val="Default"/>
        <w:jc w:val="both"/>
      </w:pPr>
    </w:p>
    <w:p w14:paraId="6F2F602D" w14:textId="77777777" w:rsidR="001F536E" w:rsidRDefault="001F536E" w:rsidP="00BE6B43">
      <w:pPr>
        <w:pStyle w:val="Default"/>
        <w:jc w:val="both"/>
      </w:pPr>
    </w:p>
    <w:p w14:paraId="00D1C009" w14:textId="77777777" w:rsidR="00F97244" w:rsidRDefault="00C843E6" w:rsidP="00F97244">
      <w:pPr>
        <w:pStyle w:val="Default"/>
        <w:spacing w:before="80" w:line="360" w:lineRule="auto"/>
        <w:ind w:firstLine="709"/>
        <w:jc w:val="both"/>
        <w:rPr>
          <w:rFonts w:ascii="Times Roman" w:hAnsi="Times Roman"/>
        </w:rPr>
      </w:pPr>
      <w:r w:rsidRPr="001F536E">
        <w:rPr>
          <w:rFonts w:ascii="Times Roman" w:hAnsi="Times Roman"/>
        </w:rPr>
        <w:t xml:space="preserve">Comme déjà évoqué, le discours ambiant actuel confronte le sujet à un tiraillement entre les éléments de préservation et ceux de sacrifice. Sur un plan manifeste, cette césure est difficilement conciliable et engage subjectivement du côté de l’acte, acte </w:t>
      </w:r>
      <w:r w:rsidR="001F536E" w:rsidRPr="001F536E">
        <w:rPr>
          <w:rFonts w:ascii="Times Roman" w:hAnsi="Times Roman"/>
        </w:rPr>
        <w:t xml:space="preserve">de </w:t>
      </w:r>
      <w:r w:rsidRPr="001F536E">
        <w:rPr>
          <w:rFonts w:ascii="Times Roman" w:hAnsi="Times Roman"/>
        </w:rPr>
        <w:t xml:space="preserve">préservation collectif, stock, dénonciation, mais aussi acte d’héroïsme, se designer volontaire, agir. </w:t>
      </w:r>
    </w:p>
    <w:p w14:paraId="325BFF62" w14:textId="77777777" w:rsidR="00F97244" w:rsidRDefault="00C843E6" w:rsidP="00F97244">
      <w:pPr>
        <w:pStyle w:val="Default"/>
        <w:spacing w:before="80" w:line="360" w:lineRule="auto"/>
        <w:ind w:firstLine="709"/>
        <w:jc w:val="both"/>
        <w:rPr>
          <w:rFonts w:ascii="Times Roman" w:hAnsi="Times Roman"/>
        </w:rPr>
      </w:pPr>
      <w:r w:rsidRPr="001F536E">
        <w:rPr>
          <w:rFonts w:ascii="Times Roman" w:hAnsi="Times Roman"/>
        </w:rPr>
        <w:t xml:space="preserve">Sur un plan latent, la césure ou l’ambivalence se soutient des mécanismes </w:t>
      </w:r>
      <w:r w:rsidR="00F91E54" w:rsidRPr="001F536E">
        <w:rPr>
          <w:rFonts w:ascii="Times Roman" w:hAnsi="Times Roman"/>
        </w:rPr>
        <w:t>inconscients</w:t>
      </w:r>
      <w:r w:rsidRPr="001F536E">
        <w:rPr>
          <w:rFonts w:ascii="Times Roman" w:hAnsi="Times Roman"/>
        </w:rPr>
        <w:t xml:space="preserve"> qui nous permettent de supporter des motions tout à fait </w:t>
      </w:r>
      <w:r w:rsidR="00F91E54" w:rsidRPr="001F536E">
        <w:rPr>
          <w:rFonts w:ascii="Times Roman" w:hAnsi="Times Roman"/>
        </w:rPr>
        <w:t>contradictoires</w:t>
      </w:r>
      <w:r w:rsidRPr="001F536E">
        <w:rPr>
          <w:rFonts w:ascii="Times Roman" w:hAnsi="Times Roman"/>
        </w:rPr>
        <w:t xml:space="preserve"> d’amour et de haine. Pourtant</w:t>
      </w:r>
      <w:r w:rsidR="00F91E54" w:rsidRPr="001F536E">
        <w:rPr>
          <w:rFonts w:ascii="Times Roman" w:hAnsi="Times Roman"/>
        </w:rPr>
        <w:t>, dans l’urgence, j’ai déjà essayé d’en dire un mot : « Nous avons tous pu faire l’expérience de notre débilité à être pris par les images répétitives d’attentats, des chiffres morbides d’une pandémie, c’est le coller au voir, urgent, désubjectivant, renvoyant facilement au schéma de psychologie collective, où la trace de la subjectivité s’incarnerait dans le héros, le leader, la mesure choc, immédiate, le mur, la riposte, finalement, la déshumanisation… Or, l’instant de voir, serait déjà de dire : « un instant, mais qu’est-ce que tu as vu en fait ? », la place de cette question n’est pas garantie, elle tient lieu de place t</w:t>
      </w:r>
      <w:r w:rsidR="00BD7D31" w:rsidRPr="001F536E">
        <w:rPr>
          <w:rFonts w:ascii="Times Roman" w:hAnsi="Times Roman"/>
        </w:rPr>
        <w:t>rouée sur l’écran que l’on fixe</w:t>
      </w:r>
      <w:r w:rsidR="00F91E54" w:rsidRPr="001F536E">
        <w:rPr>
          <w:rFonts w:ascii="Times Roman" w:hAnsi="Times Roman"/>
        </w:rPr>
        <w:t>»</w:t>
      </w:r>
      <w:r w:rsidR="00A942A6">
        <w:rPr>
          <w:rStyle w:val="Appelnotedebasdep"/>
          <w:rFonts w:ascii="Times Roman" w:hAnsi="Times Roman"/>
        </w:rPr>
        <w:footnoteReference w:id="1"/>
      </w:r>
      <w:r w:rsidR="00BD7D31" w:rsidRPr="001F536E">
        <w:rPr>
          <w:rFonts w:ascii="Times Roman" w:hAnsi="Times Roman"/>
        </w:rPr>
        <w:t>, le coller au voir, produit donc une sidération avec comme effet d’entraver les mécanismes inconscients subjectivant. Qu’est-ce à dire ?</w:t>
      </w:r>
    </w:p>
    <w:p w14:paraId="1AE60AEB" w14:textId="0E612FBE" w:rsidR="001C4CA7" w:rsidRPr="001F536E" w:rsidRDefault="00BD7D31" w:rsidP="00F97244">
      <w:pPr>
        <w:pStyle w:val="Default"/>
        <w:spacing w:before="80" w:line="360" w:lineRule="auto"/>
        <w:ind w:firstLine="709"/>
        <w:jc w:val="both"/>
        <w:rPr>
          <w:rFonts w:ascii="Times Roman" w:hAnsi="Times Roman"/>
        </w:rPr>
      </w:pPr>
      <w:r w:rsidRPr="001F536E">
        <w:rPr>
          <w:rFonts w:ascii="Times Roman" w:hAnsi="Times Roman"/>
        </w:rPr>
        <w:t>Ce que nous proposons là est d’envisager que, pris dans un discours ambiant urgentiste, notre recours fantasmatique à produire des formations de l’inconscient organisées selon la structure même du sujet de l’inconscient, vien</w:t>
      </w:r>
      <w:r w:rsidR="00CD1CC3">
        <w:rPr>
          <w:rFonts w:ascii="Times Roman" w:hAnsi="Times Roman"/>
        </w:rPr>
        <w:t>t</w:t>
      </w:r>
      <w:r w:rsidRPr="001F536E">
        <w:rPr>
          <w:rFonts w:ascii="Times Roman" w:hAnsi="Times Roman"/>
        </w:rPr>
        <w:t xml:space="preserve"> à être mis à mal, dénié. La trace clinique fondamentale du déni reste l’</w:t>
      </w:r>
      <w:r w:rsidR="001C4CA7" w:rsidRPr="001F536E">
        <w:rPr>
          <w:rFonts w:ascii="Times Roman" w:hAnsi="Times Roman"/>
        </w:rPr>
        <w:t xml:space="preserve">apparente débilité, au sens de la déficience intellectuelle, c’est-à-dire, ne pouvant être soumis à la contradiction logique. La pièce manquante, déniée, pour se soutenir du tout, ne peut plus se soutenir de la logique classique que je qualifierais ici, rapidement, de logique cartésienne. </w:t>
      </w:r>
    </w:p>
    <w:p w14:paraId="063D8D3A" w14:textId="77777777" w:rsidR="001C4CA7" w:rsidRPr="001F536E" w:rsidRDefault="001C4CA7" w:rsidP="00F97244">
      <w:pPr>
        <w:pStyle w:val="Default"/>
        <w:spacing w:before="80" w:line="360" w:lineRule="auto"/>
        <w:ind w:firstLine="709"/>
        <w:jc w:val="both"/>
        <w:rPr>
          <w:rFonts w:ascii="Times Roman" w:hAnsi="Times Roman"/>
        </w:rPr>
      </w:pPr>
    </w:p>
    <w:p w14:paraId="025F91DD" w14:textId="167C7330" w:rsidR="00F12BDE" w:rsidRPr="001F536E" w:rsidRDefault="001C4CA7" w:rsidP="00F97244">
      <w:pPr>
        <w:pStyle w:val="Default"/>
        <w:spacing w:before="80" w:line="360" w:lineRule="auto"/>
        <w:ind w:firstLine="709"/>
        <w:jc w:val="both"/>
        <w:rPr>
          <w:rFonts w:ascii="Times Roman" w:hAnsi="Times Roman"/>
        </w:rPr>
      </w:pPr>
      <w:r w:rsidRPr="001F536E">
        <w:rPr>
          <w:rFonts w:ascii="Times Roman" w:hAnsi="Times Roman"/>
        </w:rPr>
        <w:lastRenderedPageBreak/>
        <w:t>Lors de la soutenance de ma thèse de médecine</w:t>
      </w:r>
      <w:r w:rsidR="00A942A6">
        <w:rPr>
          <w:rStyle w:val="Appelnotedebasdep"/>
          <w:rFonts w:ascii="Times Roman" w:hAnsi="Times Roman"/>
        </w:rPr>
        <w:footnoteReference w:id="2"/>
      </w:r>
      <w:r w:rsidRPr="001F536E">
        <w:rPr>
          <w:rFonts w:ascii="Times Roman" w:hAnsi="Times Roman"/>
        </w:rPr>
        <w:t>, mon directeur m’avait posé à peu près cette question : « Est-ce que l’on peut appréhender le discours analy</w:t>
      </w:r>
      <w:r w:rsidR="001F536E">
        <w:rPr>
          <w:rFonts w:ascii="Times Roman" w:hAnsi="Times Roman"/>
        </w:rPr>
        <w:t>tique par l’analogie</w:t>
      </w:r>
      <w:r w:rsidRPr="001F536E">
        <w:rPr>
          <w:rFonts w:ascii="Times Roman" w:hAnsi="Times Roman"/>
        </w:rPr>
        <w:t xml:space="preserve"> ? », il est clair aujourd’hui, que l’analogie ne sollicite principalement qu’un recours au discours manifeste, à ceci près, que </w:t>
      </w:r>
      <w:r w:rsidR="00E9491B" w:rsidRPr="001F536E">
        <w:rPr>
          <w:rFonts w:ascii="Times Roman" w:hAnsi="Times Roman"/>
        </w:rPr>
        <w:t>le sous-entendu qui tiendrait d’une logique empirique, ouvre quand même la porte aux fantasmes collectifs et à la métaphore.</w:t>
      </w:r>
    </w:p>
    <w:p w14:paraId="5EC314DA" w14:textId="0EE474F2" w:rsidR="00BD7D31" w:rsidRPr="001F536E" w:rsidRDefault="00E9491B" w:rsidP="00F97244">
      <w:pPr>
        <w:pStyle w:val="Default"/>
        <w:spacing w:before="80" w:line="360" w:lineRule="auto"/>
        <w:ind w:firstLine="709"/>
        <w:jc w:val="both"/>
        <w:rPr>
          <w:rFonts w:ascii="Times Roman" w:hAnsi="Times Roman"/>
        </w:rPr>
      </w:pPr>
      <w:r w:rsidRPr="001F536E">
        <w:rPr>
          <w:rFonts w:ascii="Times Roman" w:hAnsi="Times Roman"/>
        </w:rPr>
        <w:t>Reprenons notre fil autour de cette idée que la trace clinique fondamentale du déni reste l’apparente débilité en y passant par l’analogie. Imaginons, que</w:t>
      </w:r>
      <w:r w:rsidR="001F536E">
        <w:rPr>
          <w:rFonts w:ascii="Times Roman" w:hAnsi="Times Roman"/>
        </w:rPr>
        <w:t>,</w:t>
      </w:r>
      <w:r w:rsidRPr="001F536E">
        <w:rPr>
          <w:rFonts w:ascii="Times Roman" w:hAnsi="Times Roman"/>
        </w:rPr>
        <w:t xml:space="preserve"> confronté à la réalisation d’un puzzle, deux personnes dialoguent devant une pièce manquante.</w:t>
      </w:r>
      <w:r w:rsidR="009D721A" w:rsidRPr="001F536E">
        <w:rPr>
          <w:rFonts w:ascii="Times Roman" w:hAnsi="Times Roman"/>
        </w:rPr>
        <w:t xml:space="preserve"> Le sujet qui s’organiserait sur le mode du déni ne pourrait pas constater l’absence de la pièce, c’est-à-dire, dans un premier</w:t>
      </w:r>
      <w:r w:rsidR="00CD1CC3">
        <w:rPr>
          <w:rFonts w:ascii="Times Roman" w:hAnsi="Times Roman"/>
        </w:rPr>
        <w:t xml:space="preserve"> </w:t>
      </w:r>
      <w:r w:rsidR="00CD1CC3" w:rsidRPr="003F4620">
        <w:rPr>
          <w:rFonts w:ascii="Times Roman" w:hAnsi="Times Roman"/>
          <w:color w:val="auto"/>
        </w:rPr>
        <w:t>temps</w:t>
      </w:r>
      <w:r w:rsidR="009D721A" w:rsidRPr="001F536E">
        <w:rPr>
          <w:rFonts w:ascii="Times Roman" w:hAnsi="Times Roman"/>
        </w:rPr>
        <w:t>, il ne verrait pas l’absence de la pièce, et si l’autre sujet essaye de l</w:t>
      </w:r>
      <w:r w:rsidR="00CD1CC3">
        <w:rPr>
          <w:rFonts w:ascii="Times Roman" w:hAnsi="Times Roman"/>
        </w:rPr>
        <w:t>a</w:t>
      </w:r>
      <w:r w:rsidR="009D721A" w:rsidRPr="001F536E">
        <w:rPr>
          <w:rFonts w:ascii="Times Roman" w:hAnsi="Times Roman"/>
        </w:rPr>
        <w:t xml:space="preserve"> lui montrer d’abord, il ne pourrait l</w:t>
      </w:r>
      <w:r w:rsidR="00CD1CC3">
        <w:rPr>
          <w:rFonts w:ascii="Times Roman" w:hAnsi="Times Roman"/>
        </w:rPr>
        <w:t>a</w:t>
      </w:r>
      <w:r w:rsidR="009D721A" w:rsidRPr="001F536E">
        <w:rPr>
          <w:rFonts w:ascii="Times Roman" w:hAnsi="Times Roman"/>
        </w:rPr>
        <w:t xml:space="preserve"> voir défiant le regard sans recours </w:t>
      </w:r>
      <w:r w:rsidR="001F536E">
        <w:rPr>
          <w:rFonts w:ascii="Times Roman" w:hAnsi="Times Roman"/>
        </w:rPr>
        <w:t xml:space="preserve">possible </w:t>
      </w:r>
      <w:r w:rsidR="009D721A" w:rsidRPr="001F536E">
        <w:rPr>
          <w:rFonts w:ascii="Times Roman" w:hAnsi="Times Roman"/>
        </w:rPr>
        <w:t>à une phrase négative</w:t>
      </w:r>
      <w:r w:rsidR="001F536E">
        <w:rPr>
          <w:rFonts w:ascii="Times Roman" w:hAnsi="Times Roman"/>
        </w:rPr>
        <w:t xml:space="preserve"> du type</w:t>
      </w:r>
      <w:r w:rsidR="009D721A" w:rsidRPr="001F536E">
        <w:rPr>
          <w:rFonts w:ascii="Times Roman" w:hAnsi="Times Roman"/>
        </w:rPr>
        <w:t xml:space="preserve"> « i</w:t>
      </w:r>
      <w:r w:rsidR="001F536E">
        <w:rPr>
          <w:rFonts w:ascii="Times Roman" w:hAnsi="Times Roman"/>
        </w:rPr>
        <w:t>l ne manque pas de pièce », et,</w:t>
      </w:r>
      <w:r w:rsidR="009D721A" w:rsidRPr="001F536E">
        <w:rPr>
          <w:rFonts w:ascii="Times Roman" w:hAnsi="Times Roman"/>
        </w:rPr>
        <w:t xml:space="preserve"> si son compagnon d’infortune insiste en essayant de lui prouver logiquement qu’une pièce est bien absente en évoquant par exemple les bords, l’organisation générale du puzzle, le </w:t>
      </w:r>
      <w:r w:rsidR="001F536E">
        <w:rPr>
          <w:rFonts w:ascii="Times Roman" w:hAnsi="Times Roman"/>
        </w:rPr>
        <w:t>sujet dans le déni ne pourra</w:t>
      </w:r>
      <w:r w:rsidR="009D721A" w:rsidRPr="001F536E">
        <w:rPr>
          <w:rFonts w:ascii="Times Roman" w:hAnsi="Times Roman"/>
        </w:rPr>
        <w:t xml:space="preserve"> </w:t>
      </w:r>
      <w:r w:rsidR="00F12BDE" w:rsidRPr="001F536E">
        <w:rPr>
          <w:rFonts w:ascii="Times Roman" w:hAnsi="Times Roman"/>
        </w:rPr>
        <w:t>ni nier ni contre argumenter renforçant l’impression clinique dont on parle. Il restera l’acte comme échappatoire, partir, tout renverser, frapper, insulter.</w:t>
      </w:r>
    </w:p>
    <w:p w14:paraId="19B67CBB" w14:textId="529CCA54" w:rsidR="00F919D0" w:rsidRPr="001F536E" w:rsidRDefault="00F91E54" w:rsidP="00F97244">
      <w:pPr>
        <w:spacing w:before="80" w:line="360" w:lineRule="auto"/>
        <w:ind w:firstLine="709"/>
        <w:jc w:val="both"/>
        <w:rPr>
          <w:rFonts w:ascii="Times Roman" w:hAnsi="Times Roman"/>
          <w:color w:val="000000"/>
          <w:sz w:val="24"/>
          <w:szCs w:val="24"/>
        </w:rPr>
      </w:pPr>
      <w:r w:rsidRPr="001F536E">
        <w:rPr>
          <w:rFonts w:ascii="Times Roman" w:hAnsi="Times Roman"/>
          <w:color w:val="000000"/>
          <w:sz w:val="24"/>
          <w:szCs w:val="24"/>
        </w:rPr>
        <w:t>Cet</w:t>
      </w:r>
      <w:r w:rsidR="00C843E6" w:rsidRPr="001F536E">
        <w:rPr>
          <w:rFonts w:ascii="Times Roman" w:hAnsi="Times Roman"/>
          <w:color w:val="000000"/>
          <w:sz w:val="24"/>
          <w:szCs w:val="24"/>
        </w:rPr>
        <w:t xml:space="preserve"> engagement subjectif du côté du </w:t>
      </w:r>
      <w:r w:rsidR="00C843E6" w:rsidRPr="003F4620">
        <w:rPr>
          <w:rFonts w:ascii="Times Roman" w:hAnsi="Times Roman"/>
          <w:sz w:val="24"/>
          <w:szCs w:val="24"/>
        </w:rPr>
        <w:t>passage</w:t>
      </w:r>
      <w:r w:rsidR="00C843E6" w:rsidRPr="001F536E">
        <w:rPr>
          <w:rFonts w:ascii="Times Roman" w:hAnsi="Times Roman"/>
          <w:color w:val="000000"/>
          <w:sz w:val="24"/>
          <w:szCs w:val="24"/>
        </w:rPr>
        <w:t xml:space="preserve"> à l’acte,</w:t>
      </w:r>
      <w:r w:rsidR="00A705E6" w:rsidRPr="001F536E">
        <w:rPr>
          <w:rFonts w:ascii="Times Roman" w:hAnsi="Times Roman"/>
          <w:color w:val="000000"/>
          <w:sz w:val="24"/>
          <w:szCs w:val="24"/>
        </w:rPr>
        <w:t xml:space="preserve"> s’organise donc, temporairement face au déni véhiculé par le discours ambiant. </w:t>
      </w:r>
      <w:r w:rsidR="00F919D0" w:rsidRPr="001F536E">
        <w:rPr>
          <w:rFonts w:ascii="Times Roman" w:hAnsi="Times Roman"/>
          <w:color w:val="000000"/>
          <w:sz w:val="24"/>
          <w:szCs w:val="24"/>
        </w:rPr>
        <w:t>Freud nous propose dans son schéma de psychologie collective</w:t>
      </w:r>
      <w:r w:rsidR="003F4620">
        <w:rPr>
          <w:rStyle w:val="Appelnotedebasdep"/>
          <w:rFonts w:ascii="Times Roman" w:hAnsi="Times Roman"/>
          <w:color w:val="000000"/>
          <w:sz w:val="24"/>
          <w:szCs w:val="24"/>
        </w:rPr>
        <w:footnoteReference w:id="3"/>
      </w:r>
      <w:r w:rsidR="00F919D0" w:rsidRPr="001F536E">
        <w:rPr>
          <w:rFonts w:ascii="Times Roman" w:hAnsi="Times Roman"/>
          <w:color w:val="000000"/>
          <w:sz w:val="24"/>
          <w:szCs w:val="24"/>
        </w:rPr>
        <w:t xml:space="preserve"> d’envisager que ce qui est cour</w:t>
      </w:r>
      <w:r w:rsidR="001F536E">
        <w:rPr>
          <w:rFonts w:ascii="Times Roman" w:hAnsi="Times Roman"/>
          <w:color w:val="000000"/>
          <w:sz w:val="24"/>
          <w:szCs w:val="24"/>
        </w:rPr>
        <w:t>t-</w:t>
      </w:r>
      <w:r w:rsidR="00F919D0" w:rsidRPr="001F536E">
        <w:rPr>
          <w:rFonts w:ascii="Times Roman" w:hAnsi="Times Roman"/>
          <w:color w:val="000000"/>
          <w:sz w:val="24"/>
          <w:szCs w:val="24"/>
        </w:rPr>
        <w:t xml:space="preserve">circuité c’est le moi idéal. Or, </w:t>
      </w:r>
      <w:r w:rsidR="0092542C" w:rsidRPr="001F536E">
        <w:rPr>
          <w:rFonts w:ascii="Times Roman" w:hAnsi="Times Roman"/>
          <w:color w:val="000000"/>
          <w:sz w:val="24"/>
          <w:szCs w:val="24"/>
        </w:rPr>
        <w:t>l</w:t>
      </w:r>
      <w:r w:rsidR="00F919D0" w:rsidRPr="001F536E">
        <w:rPr>
          <w:rFonts w:ascii="Times Roman" w:hAnsi="Times Roman"/>
          <w:color w:val="000000"/>
          <w:sz w:val="24"/>
          <w:szCs w:val="24"/>
        </w:rPr>
        <w:t>e moi idéal est un représentant du premier narcissisme selon la définition freudienne proposée dans le texte « Pour introduire au narcissisme »</w:t>
      </w:r>
      <w:r w:rsidR="00F919D0" w:rsidRPr="001F536E">
        <w:rPr>
          <w:rFonts w:ascii="Times Roman" w:hAnsi="Times Roman"/>
          <w:color w:val="000000"/>
          <w:sz w:val="24"/>
          <w:szCs w:val="24"/>
          <w:vertAlign w:val="superscript"/>
        </w:rPr>
        <w:footnoteReference w:id="4"/>
      </w:r>
      <w:r w:rsidR="00F919D0" w:rsidRPr="001F536E">
        <w:rPr>
          <w:rFonts w:ascii="Times Roman" w:hAnsi="Times Roman"/>
          <w:color w:val="000000"/>
          <w:sz w:val="24"/>
          <w:szCs w:val="24"/>
        </w:rPr>
        <w:t> ; il est exempt  de la dimension de l’identification, c’est-à-dire que la question de l’identification et selon un temps logique, ne se présente pas encore au sujet. Selon Lacan, et commentant le stade du miroir</w:t>
      </w:r>
      <w:r w:rsidR="00F919D0" w:rsidRPr="001F536E">
        <w:rPr>
          <w:rFonts w:ascii="Times Roman" w:hAnsi="Times Roman"/>
          <w:color w:val="000000"/>
          <w:sz w:val="24"/>
          <w:szCs w:val="24"/>
          <w:vertAlign w:val="superscript"/>
        </w:rPr>
        <w:footnoteReference w:id="5"/>
      </w:r>
      <w:r w:rsidR="00F919D0" w:rsidRPr="001F536E">
        <w:rPr>
          <w:rFonts w:ascii="Times Roman" w:hAnsi="Times Roman"/>
          <w:color w:val="000000"/>
          <w:sz w:val="24"/>
          <w:szCs w:val="24"/>
        </w:rPr>
        <w:t> : « l’image du moi, du seul fait qu’elle est image, le moi est moi idéal, résume toute la relation imaginaire chez l’homme »</w:t>
      </w:r>
      <w:r w:rsidR="00F919D0" w:rsidRPr="001F536E">
        <w:rPr>
          <w:rFonts w:ascii="Times Roman" w:hAnsi="Times Roman"/>
          <w:color w:val="000000"/>
          <w:sz w:val="24"/>
          <w:szCs w:val="24"/>
          <w:vertAlign w:val="superscript"/>
        </w:rPr>
        <w:footnoteReference w:id="6"/>
      </w:r>
      <w:r w:rsidR="00F919D0" w:rsidRPr="001F536E">
        <w:rPr>
          <w:rFonts w:ascii="Times Roman" w:hAnsi="Times Roman"/>
          <w:color w:val="000000"/>
          <w:sz w:val="24"/>
          <w:szCs w:val="24"/>
        </w:rPr>
        <w:t>. C’est un lieu caractéristique de l’état dit de toute puissance.</w:t>
      </w:r>
    </w:p>
    <w:p w14:paraId="74CC00CF" w14:textId="77777777" w:rsidR="0092542C" w:rsidRPr="001F536E" w:rsidRDefault="0092542C" w:rsidP="00F97244">
      <w:pPr>
        <w:spacing w:before="80" w:line="360" w:lineRule="auto"/>
        <w:ind w:firstLine="709"/>
        <w:jc w:val="both"/>
        <w:rPr>
          <w:rFonts w:ascii="Times Roman" w:hAnsi="Times Roman"/>
          <w:color w:val="000000"/>
          <w:sz w:val="24"/>
          <w:szCs w:val="24"/>
        </w:rPr>
      </w:pPr>
      <w:r w:rsidRPr="001F536E">
        <w:rPr>
          <w:rFonts w:ascii="Times Roman" w:hAnsi="Times Roman"/>
          <w:color w:val="000000"/>
          <w:sz w:val="24"/>
          <w:szCs w:val="24"/>
        </w:rPr>
        <w:t>Le recours aux mythe</w:t>
      </w:r>
      <w:r w:rsidR="001F536E">
        <w:rPr>
          <w:rFonts w:ascii="Times Roman" w:hAnsi="Times Roman"/>
          <w:color w:val="000000"/>
          <w:sz w:val="24"/>
          <w:szCs w:val="24"/>
        </w:rPr>
        <w:t xml:space="preserve">s, aux légendes nous permet </w:t>
      </w:r>
      <w:r w:rsidRPr="001F536E">
        <w:rPr>
          <w:rFonts w:ascii="Times Roman" w:hAnsi="Times Roman"/>
          <w:color w:val="000000"/>
          <w:sz w:val="24"/>
          <w:szCs w:val="24"/>
        </w:rPr>
        <w:t>d’entrevoir ce qui se passe du côté d’un inconscient collectif et ici, en particulier, autour de ce tiraillement entre préservation et héroïsme. Le héros de la légende renvoie à cette idée de toute puissance, Homme surpuissant qui, de part son dévouement au collectif, viendrait le préserver, le coll</w:t>
      </w:r>
      <w:r w:rsidR="00DD76B3">
        <w:rPr>
          <w:rFonts w:ascii="Times Roman" w:hAnsi="Times Roman"/>
          <w:color w:val="000000"/>
          <w:sz w:val="24"/>
          <w:szCs w:val="24"/>
        </w:rPr>
        <w:t xml:space="preserve">ectif. Pourtant, la </w:t>
      </w:r>
      <w:r w:rsidR="00DD76B3">
        <w:rPr>
          <w:rFonts w:ascii="Times Roman" w:hAnsi="Times Roman"/>
          <w:color w:val="000000"/>
          <w:sz w:val="24"/>
          <w:szCs w:val="24"/>
        </w:rPr>
        <w:lastRenderedPageBreak/>
        <w:t>plupart de c</w:t>
      </w:r>
      <w:r w:rsidRPr="001F536E">
        <w:rPr>
          <w:rFonts w:ascii="Times Roman" w:hAnsi="Times Roman"/>
          <w:color w:val="000000"/>
          <w:sz w:val="24"/>
          <w:szCs w:val="24"/>
        </w:rPr>
        <w:t xml:space="preserve">es légendes viennent à mettre en avant deux points qui nous </w:t>
      </w:r>
      <w:r w:rsidR="00DD76B3" w:rsidRPr="001F536E">
        <w:rPr>
          <w:rFonts w:ascii="Times Roman" w:hAnsi="Times Roman"/>
          <w:color w:val="000000"/>
          <w:sz w:val="24"/>
          <w:szCs w:val="24"/>
        </w:rPr>
        <w:t>intéressent</w:t>
      </w:r>
      <w:r w:rsidRPr="001F536E">
        <w:rPr>
          <w:rFonts w:ascii="Times Roman" w:hAnsi="Times Roman"/>
          <w:color w:val="000000"/>
          <w:sz w:val="24"/>
          <w:szCs w:val="24"/>
        </w:rPr>
        <w:t xml:space="preserve"> pour notre propos, le héros, doté de pouvoir, de puissance, d’un côté, reste marqué d’une faiblesse intrinsèque, le talon d’Achille, la kryptonite de Superman,  l’humanité d’Hercule (qui le pousse à réaliser les douze travaux, dix en fait selon son comptable de cousin) de l’autre.</w:t>
      </w:r>
    </w:p>
    <w:p w14:paraId="5365CDC4" w14:textId="77777777" w:rsidR="0092542C" w:rsidRPr="001F536E" w:rsidRDefault="0092542C" w:rsidP="00F97244">
      <w:pPr>
        <w:spacing w:before="80" w:line="360" w:lineRule="auto"/>
        <w:ind w:firstLine="709"/>
        <w:jc w:val="both"/>
        <w:rPr>
          <w:rFonts w:ascii="Times Roman" w:hAnsi="Times Roman"/>
          <w:color w:val="000000"/>
          <w:sz w:val="24"/>
          <w:szCs w:val="24"/>
        </w:rPr>
      </w:pPr>
      <w:r w:rsidRPr="001F536E">
        <w:rPr>
          <w:rFonts w:ascii="Times Roman" w:hAnsi="Times Roman"/>
          <w:color w:val="000000"/>
          <w:sz w:val="24"/>
          <w:szCs w:val="24"/>
        </w:rPr>
        <w:t xml:space="preserve">Ainsi, et voilà ce qui se joue particulièrement dans l’ambiance actuelle, le fantasme du héros, fantasme disons ici, collectif, </w:t>
      </w:r>
      <w:r w:rsidR="003F796B" w:rsidRPr="001F536E">
        <w:rPr>
          <w:rFonts w:ascii="Times Roman" w:hAnsi="Times Roman"/>
          <w:color w:val="000000"/>
          <w:sz w:val="24"/>
          <w:szCs w:val="24"/>
        </w:rPr>
        <w:t>se garde de lui-même de ce que ce héros ne soit pas entier, mais bien marqué du manque, le renvoyant possiblement à une émergence subjective. L’empreinte d’humanité est, elle, toute singulière.</w:t>
      </w:r>
    </w:p>
    <w:p w14:paraId="571BDF65" w14:textId="5DA7B505" w:rsidR="00DD76B3" w:rsidRDefault="003F796B" w:rsidP="00F97244">
      <w:pPr>
        <w:spacing w:before="80" w:line="360" w:lineRule="auto"/>
        <w:ind w:firstLine="709"/>
        <w:jc w:val="both"/>
        <w:rPr>
          <w:rFonts w:ascii="Times Roman" w:hAnsi="Times Roman"/>
          <w:color w:val="000000"/>
          <w:sz w:val="24"/>
          <w:szCs w:val="24"/>
        </w:rPr>
      </w:pPr>
      <w:r w:rsidRPr="001F536E">
        <w:rPr>
          <w:rFonts w:ascii="Times Roman" w:hAnsi="Times Roman"/>
          <w:color w:val="000000"/>
          <w:sz w:val="24"/>
          <w:szCs w:val="24"/>
        </w:rPr>
        <w:t>Cette remarque permet d’avancer dans notre propos, le discours courant actuel renvoie au plein de son urgence affiché</w:t>
      </w:r>
      <w:r w:rsidR="00CD1CC3">
        <w:rPr>
          <w:rFonts w:ascii="Times Roman" w:hAnsi="Times Roman"/>
          <w:color w:val="000000"/>
          <w:sz w:val="24"/>
          <w:szCs w:val="24"/>
        </w:rPr>
        <w:t>e</w:t>
      </w:r>
      <w:r w:rsidRPr="001F536E">
        <w:rPr>
          <w:rFonts w:ascii="Times Roman" w:hAnsi="Times Roman"/>
          <w:color w:val="000000"/>
          <w:sz w:val="24"/>
          <w:szCs w:val="24"/>
        </w:rPr>
        <w:t xml:space="preserve">. Urgence à laquelle on se doit de répondre, nous renvoyant, collectivement, même, comme défini dans le concept de moi idéal au narcissisme primaire, c’est-à-dire, en-deçà de la question identificatoire </w:t>
      </w:r>
      <w:r w:rsidR="006D240B" w:rsidRPr="001F536E">
        <w:rPr>
          <w:rFonts w:ascii="Times Roman" w:hAnsi="Times Roman"/>
          <w:color w:val="000000"/>
          <w:sz w:val="24"/>
          <w:szCs w:val="24"/>
        </w:rPr>
        <w:t xml:space="preserve">qui serait, elle, un mécanisme hérité du second narcissisme. </w:t>
      </w:r>
    </w:p>
    <w:p w14:paraId="070C2ABC" w14:textId="77777777" w:rsidR="00F97244" w:rsidRDefault="006D240B" w:rsidP="00F97244">
      <w:pPr>
        <w:spacing w:before="80" w:line="360" w:lineRule="auto"/>
        <w:ind w:firstLine="709"/>
        <w:jc w:val="both"/>
        <w:rPr>
          <w:rFonts w:ascii="Times Roman" w:hAnsi="Times Roman"/>
          <w:color w:val="000000"/>
          <w:sz w:val="24"/>
          <w:szCs w:val="24"/>
        </w:rPr>
      </w:pPr>
      <w:r w:rsidRPr="001F536E">
        <w:rPr>
          <w:rFonts w:ascii="Times Roman" w:hAnsi="Times Roman"/>
          <w:color w:val="000000"/>
          <w:sz w:val="24"/>
          <w:szCs w:val="24"/>
        </w:rPr>
        <w:t>Cliniquement, la marque de ce narcissisme primaire est omniprésente, le discours s’organisant autour de la césure entre moi, nous et les autres. « </w:t>
      </w:r>
      <w:r w:rsidR="003F796B" w:rsidRPr="001F536E">
        <w:rPr>
          <w:rFonts w:ascii="Times Roman" w:hAnsi="Times Roman"/>
          <w:color w:val="000000"/>
          <w:sz w:val="24"/>
          <w:szCs w:val="24"/>
        </w:rPr>
        <w:t xml:space="preserve"> </w:t>
      </w:r>
      <w:r w:rsidRPr="001F536E">
        <w:rPr>
          <w:rFonts w:ascii="Times Roman" w:hAnsi="Times Roman"/>
          <w:color w:val="000000"/>
          <w:sz w:val="24"/>
          <w:szCs w:val="24"/>
        </w:rPr>
        <w:t>Moi je respecte les règles de confinement alors que les autres non », « Nous, on travaille, alors que d’autres non… ». Voilà ce qui constituerait peut-être la plus efficace des définitions du narcissisme primaire : la possibilité d’envisager qu’il y a moi et les autres. C’est à la fois ce que franchit le petit d’homme à force de ne pas maitriser le sein maternel, fondant la possibilité d’accès à une image corporelle, mais c’est aussi le constat clinique que les mécanismes narcissiques ne sont pas franchis, acquis, organisés sous la forme de stade, mais se rejoue</w:t>
      </w:r>
      <w:r w:rsidR="00CD1CC3">
        <w:rPr>
          <w:rFonts w:ascii="Times Roman" w:hAnsi="Times Roman"/>
          <w:color w:val="000000"/>
          <w:sz w:val="24"/>
          <w:szCs w:val="24"/>
        </w:rPr>
        <w:t>nt</w:t>
      </w:r>
      <w:r w:rsidRPr="001F536E">
        <w:rPr>
          <w:rFonts w:ascii="Times Roman" w:hAnsi="Times Roman"/>
          <w:color w:val="000000"/>
          <w:sz w:val="24"/>
          <w:szCs w:val="24"/>
        </w:rPr>
        <w:t>, entre autres, à chaque fois que l’on parle, à chaque apparition fortuite du sujet de l’inconscient.</w:t>
      </w:r>
      <w:r w:rsidR="00AA0131" w:rsidRPr="001F536E">
        <w:rPr>
          <w:rFonts w:ascii="Times Roman" w:hAnsi="Times Roman"/>
          <w:color w:val="000000"/>
          <w:sz w:val="24"/>
          <w:szCs w:val="24"/>
        </w:rPr>
        <w:t xml:space="preserve"> </w:t>
      </w:r>
    </w:p>
    <w:p w14:paraId="3AC3DA2F" w14:textId="77777777" w:rsidR="006B12BB" w:rsidRDefault="00F97244" w:rsidP="006B12BB">
      <w:pPr>
        <w:spacing w:before="80" w:line="360" w:lineRule="auto"/>
        <w:ind w:firstLine="709"/>
        <w:jc w:val="both"/>
        <w:rPr>
          <w:rFonts w:ascii="Times Roman" w:hAnsi="Times Roman"/>
          <w:color w:val="000000"/>
          <w:sz w:val="24"/>
          <w:szCs w:val="24"/>
        </w:rPr>
      </w:pPr>
      <w:r>
        <w:rPr>
          <w:rFonts w:ascii="Times Roman" w:hAnsi="Times Roman"/>
          <w:color w:val="000000"/>
          <w:sz w:val="24"/>
          <w:szCs w:val="24"/>
        </w:rPr>
        <w:t>C</w:t>
      </w:r>
      <w:r w:rsidR="00AA0131" w:rsidRPr="001F536E">
        <w:rPr>
          <w:rFonts w:ascii="Times Roman" w:hAnsi="Times Roman"/>
          <w:color w:val="000000"/>
          <w:sz w:val="24"/>
          <w:szCs w:val="24"/>
        </w:rPr>
        <w:t xml:space="preserve">ette apparition est alors sujette à ce qu’elle puisse être entendue comme telle, sinon, s’organise, défensivement, le passage à l’acte comme nous l’avons précédemment expliqué confronté au déni du discours courant. Il y aura à envisager avec sérieux, dans l’après-coup des passages à l’acte individuels </w:t>
      </w:r>
      <w:r w:rsidR="00B8620B" w:rsidRPr="001F536E">
        <w:rPr>
          <w:rFonts w:ascii="Times Roman" w:hAnsi="Times Roman"/>
          <w:color w:val="000000"/>
          <w:sz w:val="24"/>
          <w:szCs w:val="24"/>
        </w:rPr>
        <w:t>qu’aura</w:t>
      </w:r>
      <w:r w:rsidR="00AA0131" w:rsidRPr="001F536E">
        <w:rPr>
          <w:rFonts w:ascii="Times Roman" w:hAnsi="Times Roman"/>
          <w:color w:val="000000"/>
          <w:sz w:val="24"/>
          <w:szCs w:val="24"/>
        </w:rPr>
        <w:t xml:space="preserve"> engendré l’ambiance actuelle, que les analystes soient présents pour permettre au sujet de se désengager de cette voie de court-circuit.</w:t>
      </w:r>
    </w:p>
    <w:p w14:paraId="34B92DEE" w14:textId="06960502" w:rsidR="00AA0131" w:rsidRPr="001F536E" w:rsidRDefault="00AA0131" w:rsidP="006B12BB">
      <w:pPr>
        <w:spacing w:before="80" w:line="360" w:lineRule="auto"/>
        <w:ind w:firstLine="709"/>
        <w:jc w:val="both"/>
        <w:rPr>
          <w:rFonts w:ascii="Times Roman" w:hAnsi="Times Roman"/>
          <w:color w:val="000000"/>
          <w:sz w:val="24"/>
          <w:szCs w:val="24"/>
        </w:rPr>
      </w:pPr>
      <w:r w:rsidRPr="001F536E">
        <w:rPr>
          <w:rFonts w:ascii="Times Roman" w:hAnsi="Times Roman"/>
          <w:color w:val="000000"/>
          <w:sz w:val="24"/>
          <w:szCs w:val="24"/>
        </w:rPr>
        <w:t>Cette présence est garantie, ouverte par le discours autour de ce que nous avons pu souligner du fantasme collectif, encore une fois, pour le dire vite, par le truchement de la faiblesse humaine du héros, faiblesse singulière, faiblesse organisant la légende comme trouée elle-même à l’endroit où elle répond au discours plein de l’urgence.</w:t>
      </w:r>
    </w:p>
    <w:p w14:paraId="444ADF97" w14:textId="77777777" w:rsidR="006B12BB" w:rsidRDefault="006B12BB" w:rsidP="006B12BB">
      <w:pPr>
        <w:spacing w:before="80" w:line="360" w:lineRule="auto"/>
        <w:jc w:val="both"/>
        <w:rPr>
          <w:rFonts w:ascii="Times Roman" w:hAnsi="Times Roman"/>
          <w:color w:val="000000"/>
          <w:sz w:val="24"/>
          <w:szCs w:val="24"/>
        </w:rPr>
      </w:pPr>
    </w:p>
    <w:p w14:paraId="5F327607" w14:textId="077070BC" w:rsidR="003F796B" w:rsidRPr="001F536E" w:rsidRDefault="00AA0131" w:rsidP="006B12BB">
      <w:pPr>
        <w:spacing w:before="80" w:line="360" w:lineRule="auto"/>
        <w:ind w:firstLine="708"/>
        <w:jc w:val="both"/>
        <w:rPr>
          <w:rFonts w:ascii="Times Roman" w:hAnsi="Times Roman"/>
          <w:color w:val="000000"/>
          <w:sz w:val="24"/>
          <w:szCs w:val="24"/>
        </w:rPr>
      </w:pPr>
      <w:r w:rsidRPr="001F536E">
        <w:rPr>
          <w:rFonts w:ascii="Times Roman" w:hAnsi="Times Roman"/>
          <w:color w:val="000000"/>
          <w:sz w:val="24"/>
          <w:szCs w:val="24"/>
        </w:rPr>
        <w:lastRenderedPageBreak/>
        <w:t>Un ami m’a rapporté cette anecdote qu’il a lu</w:t>
      </w:r>
      <w:r w:rsidR="006B12BB">
        <w:rPr>
          <w:rFonts w:ascii="Times Roman" w:hAnsi="Times Roman"/>
          <w:color w:val="000000"/>
          <w:sz w:val="24"/>
          <w:szCs w:val="24"/>
        </w:rPr>
        <w:t>e</w:t>
      </w:r>
      <w:bookmarkStart w:id="0" w:name="_GoBack"/>
      <w:bookmarkEnd w:id="0"/>
      <w:r w:rsidRPr="001F536E">
        <w:rPr>
          <w:rFonts w:ascii="Times Roman" w:hAnsi="Times Roman"/>
          <w:color w:val="000000"/>
          <w:sz w:val="24"/>
          <w:szCs w:val="24"/>
        </w:rPr>
        <w:t xml:space="preserve"> dans une « étude », les guillemets marquant le fait que je n’ai pas pu la retrouver pour le moment, </w:t>
      </w:r>
      <w:r w:rsidR="004B0C57" w:rsidRPr="001F536E">
        <w:rPr>
          <w:rFonts w:ascii="Times Roman" w:hAnsi="Times Roman"/>
          <w:color w:val="000000"/>
          <w:sz w:val="24"/>
          <w:szCs w:val="24"/>
        </w:rPr>
        <w:t>rendant compte de ce que le confinement, ou tout du moins l’ambiance actuelle provoquait le fait que l’on rêverait beaucoup plus en ce moment. Sans aller plus en avant pour l’instant sur ce point, une remarque s’impose quand même au-delà de ce que les neurologues tentent de tirer comme conclusion de ces études, l’importance de nos rêveries « augmentées » pourrait être le signe clinique de ce que la subjectivation insiste toujours, et d’autant plus qu’elle soit contrarié</w:t>
      </w:r>
      <w:r w:rsidR="00C1603E">
        <w:rPr>
          <w:rFonts w:ascii="Times Roman" w:hAnsi="Times Roman"/>
          <w:color w:val="000000"/>
          <w:sz w:val="24"/>
          <w:szCs w:val="24"/>
        </w:rPr>
        <w:t>e</w:t>
      </w:r>
      <w:r w:rsidR="004B0C57" w:rsidRPr="001F536E">
        <w:rPr>
          <w:rFonts w:ascii="Times Roman" w:hAnsi="Times Roman"/>
          <w:color w:val="000000"/>
          <w:sz w:val="24"/>
          <w:szCs w:val="24"/>
        </w:rPr>
        <w:t xml:space="preserve"> par les discours pleins des leaders, soit elle, l’urgence sanitair</w:t>
      </w:r>
      <w:r w:rsidR="00B8620B">
        <w:rPr>
          <w:rFonts w:ascii="Times Roman" w:hAnsi="Times Roman"/>
          <w:color w:val="000000"/>
          <w:sz w:val="24"/>
          <w:szCs w:val="24"/>
        </w:rPr>
        <w:t>e. Le désir ne s’étouffe pas,</w:t>
      </w:r>
      <w:r w:rsidR="004B0C57" w:rsidRPr="001F536E">
        <w:rPr>
          <w:rFonts w:ascii="Times Roman" w:hAnsi="Times Roman"/>
          <w:color w:val="000000"/>
          <w:sz w:val="24"/>
          <w:szCs w:val="24"/>
        </w:rPr>
        <w:t xml:space="preserve"> il</w:t>
      </w:r>
      <w:r w:rsidR="00BE6B43" w:rsidRPr="001F536E">
        <w:rPr>
          <w:rFonts w:ascii="Times Roman" w:hAnsi="Times Roman"/>
          <w:color w:val="000000"/>
          <w:sz w:val="24"/>
          <w:szCs w:val="24"/>
        </w:rPr>
        <w:t xml:space="preserve"> creuse constamment le sillon allant dans le sens de se frayer un chemin dans le plein pour le trouer, encore faut-il qu’il y ait, par exemple, un analyste pour l’entendre.</w:t>
      </w:r>
    </w:p>
    <w:p w14:paraId="2DE6E4FA" w14:textId="77777777" w:rsidR="001F536E" w:rsidRPr="001F536E" w:rsidRDefault="001F536E" w:rsidP="00BE6B43">
      <w:pPr>
        <w:jc w:val="both"/>
        <w:rPr>
          <w:rFonts w:ascii="Times Roman" w:hAnsi="Times Roman"/>
          <w:sz w:val="24"/>
          <w:szCs w:val="24"/>
        </w:rPr>
      </w:pPr>
    </w:p>
    <w:sectPr w:rsidR="001F536E" w:rsidRPr="001F53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C376B" w14:textId="77777777" w:rsidR="009871BF" w:rsidRDefault="009871BF" w:rsidP="00F919D0">
      <w:r>
        <w:separator/>
      </w:r>
    </w:p>
  </w:endnote>
  <w:endnote w:type="continuationSeparator" w:id="0">
    <w:p w14:paraId="702327B7" w14:textId="77777777" w:rsidR="009871BF" w:rsidRDefault="009871BF" w:rsidP="00F9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2C14" w14:textId="77777777" w:rsidR="00F97244" w:rsidRDefault="00F9724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B4C24">
      <w:rPr>
        <w:caps/>
        <w:noProof/>
        <w:color w:val="4F81BD" w:themeColor="accent1"/>
      </w:rPr>
      <w:t>4</w:t>
    </w:r>
    <w:r>
      <w:rPr>
        <w:caps/>
        <w:color w:val="4F81BD" w:themeColor="accent1"/>
      </w:rPr>
      <w:fldChar w:fldCharType="end"/>
    </w:r>
  </w:p>
  <w:p w14:paraId="34CD804F" w14:textId="77777777" w:rsidR="00F97244" w:rsidRDefault="00F9724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911E3" w14:textId="77777777" w:rsidR="009871BF" w:rsidRDefault="009871BF" w:rsidP="00F919D0">
      <w:r>
        <w:separator/>
      </w:r>
    </w:p>
  </w:footnote>
  <w:footnote w:type="continuationSeparator" w:id="0">
    <w:p w14:paraId="1FFF1245" w14:textId="77777777" w:rsidR="009871BF" w:rsidRDefault="009871BF" w:rsidP="00F919D0">
      <w:r>
        <w:continuationSeparator/>
      </w:r>
    </w:p>
  </w:footnote>
  <w:footnote w:id="1">
    <w:p w14:paraId="283251D1" w14:textId="3E2BEE5B" w:rsidR="00A942A6" w:rsidRDefault="00A942A6">
      <w:pPr>
        <w:pStyle w:val="Notedebasdepage"/>
      </w:pPr>
      <w:r>
        <w:rPr>
          <w:rStyle w:val="Appelnotedebasdep"/>
        </w:rPr>
        <w:footnoteRef/>
      </w:r>
      <w:r>
        <w:t xml:space="preserve"> G. Riedlin, </w:t>
      </w:r>
      <w:r w:rsidR="00F97244">
        <w:rPr>
          <w:i/>
        </w:rPr>
        <w:t>Éphéméride 2, É</w:t>
      </w:r>
      <w:r w:rsidRPr="003F4620">
        <w:rPr>
          <w:i/>
        </w:rPr>
        <w:t>dito</w:t>
      </w:r>
    </w:p>
  </w:footnote>
  <w:footnote w:id="2">
    <w:p w14:paraId="3F5BC8E9" w14:textId="1E1C4278" w:rsidR="00A942A6" w:rsidRDefault="00A942A6">
      <w:pPr>
        <w:pStyle w:val="Notedebasdepage"/>
      </w:pPr>
      <w:r>
        <w:rPr>
          <w:rStyle w:val="Appelnotedebasdep"/>
        </w:rPr>
        <w:footnoteRef/>
      </w:r>
      <w:r>
        <w:t xml:space="preserve"> G. Riedlin, </w:t>
      </w:r>
      <w:r w:rsidRPr="003F4620">
        <w:rPr>
          <w:i/>
        </w:rPr>
        <w:t>D’une clinique relative au clivage du Moi, Thèse de médecine</w:t>
      </w:r>
    </w:p>
  </w:footnote>
  <w:footnote w:id="3">
    <w:p w14:paraId="640AD2CD" w14:textId="36728AB8" w:rsidR="003F4620" w:rsidRPr="003F4620" w:rsidRDefault="003F4620">
      <w:pPr>
        <w:pStyle w:val="Notedebasdepage"/>
        <w:rPr>
          <w:i/>
        </w:rPr>
      </w:pPr>
      <w:r>
        <w:rPr>
          <w:rStyle w:val="Appelnotedebasdep"/>
        </w:rPr>
        <w:footnoteRef/>
      </w:r>
      <w:r>
        <w:t xml:space="preserve"> S. Freud, </w:t>
      </w:r>
      <w:r w:rsidRPr="003F4620">
        <w:rPr>
          <w:i/>
        </w:rPr>
        <w:t>Psychologie des foules et analyse du moi</w:t>
      </w:r>
    </w:p>
  </w:footnote>
  <w:footnote w:id="4">
    <w:p w14:paraId="01231AB5" w14:textId="5071B434" w:rsidR="001F536E" w:rsidRDefault="001F536E" w:rsidP="00F919D0">
      <w:pPr>
        <w:pStyle w:val="Notedebasdepage"/>
      </w:pPr>
      <w:r w:rsidRPr="007D760F">
        <w:rPr>
          <w:rStyle w:val="Appelnotedebasdep"/>
        </w:rPr>
        <w:footnoteRef/>
      </w:r>
      <w:r>
        <w:t xml:space="preserve"> </w:t>
      </w:r>
      <w:r w:rsidR="003F4620">
        <w:t xml:space="preserve">S. </w:t>
      </w:r>
      <w:r>
        <w:fldChar w:fldCharType="begin"/>
      </w:r>
      <w:r>
        <w:instrText xml:space="preserve"> ADDIN ZOTERO_ITEM CSL_CITATION {"citationID":"UWxdhfu3","properties":{"formattedCitation":"{\\rtf Freud, \\i La vie sexuelle\\i0{}.}","plainCitation":"Freud, La vie sexuelle."},"citationItems":[{"id":55,"uris":["http://zotero.org/users/local/YkkNgvwc/items/C9VUIUGX"],"uri":["http://zotero.org/users/local/YkkNgvwc/items/C9VUIUGX"],"itemData":{"id":55,"type":"book","title":"La vie sexuelle","publisher":"Presses Universitaires de France - PUF","publisher-place":"Paris","number-of-pages":"168","edition":"9e","source":"Amazon","event-place":"Paris","ISBN":"9782130447238","language":"Français","author":[{"family":"Freud","given":"Sigmund"}],"issued":{"date-parts":[["1999",11,1]]}}}],"schema":"https://github.com/citation-style-language/schema/raw/master/csl-citation.json"} </w:instrText>
      </w:r>
      <w:r>
        <w:fldChar w:fldCharType="separate"/>
      </w:r>
      <w:r w:rsidRPr="006C1333">
        <w:rPr>
          <w:rFonts w:ascii="Cambria"/>
        </w:rPr>
        <w:t xml:space="preserve">Freud, </w:t>
      </w:r>
      <w:r w:rsidRPr="006C1333">
        <w:rPr>
          <w:rFonts w:ascii="Cambria"/>
          <w:i/>
          <w:iCs/>
        </w:rPr>
        <w:t>La vie sexuelle</w:t>
      </w:r>
      <w:r w:rsidRPr="006C1333">
        <w:rPr>
          <w:rFonts w:ascii="Cambria"/>
        </w:rPr>
        <w:t>.</w:t>
      </w:r>
      <w:r>
        <w:fldChar w:fldCharType="end"/>
      </w:r>
    </w:p>
  </w:footnote>
  <w:footnote w:id="5">
    <w:p w14:paraId="3AC44887" w14:textId="351B18C4" w:rsidR="001F536E" w:rsidRDefault="001F536E" w:rsidP="00F919D0">
      <w:pPr>
        <w:pStyle w:val="Notedebasdepage"/>
      </w:pPr>
      <w:r w:rsidRPr="007D760F">
        <w:rPr>
          <w:rStyle w:val="Appelnotedebasdep"/>
        </w:rPr>
        <w:footnoteRef/>
      </w:r>
      <w:r>
        <w:t xml:space="preserve"> </w:t>
      </w:r>
      <w:r w:rsidR="003F4620">
        <w:t xml:space="preserve">J. </w:t>
      </w:r>
      <w:r>
        <w:fldChar w:fldCharType="begin"/>
      </w:r>
      <w:r>
        <w:instrText xml:space="preserve"> ADDIN ZOTERO_ITEM CSL_CITATION {"citationID":"FG37BzzG","properties":{"formattedCitation":"{\\rtf Lacan, \\i \\uc0\\u201{}crits\\i0{}.}","plainCitation":"Lacan, Écrits."},"citationItems":[{"id":47,"uris":["http://zotero.org/users/local/YkkNgvwc/items/R2IAMQMF"],"uri":["http://zotero.org/users/local/YkkNgvwc/items/R2IAMQMF"],"itemData":{"id":47,"type":"book","title":"Écrits","publisher":"Seuil","publisher-place":"Paris","number-of-pages":"923","edition":"Seuil","source":"Amazon","event-place":"Paris","ISBN":"9782020027526","language":"Français","author":[{"family":"Lacan","given":"Jacques"}],"issued":{"date-parts":[["1966",11,1]]}}}],"schema":"https://github.com/citation-style-language/schema/raw/master/csl-citation.json"} </w:instrText>
      </w:r>
      <w:r>
        <w:fldChar w:fldCharType="separate"/>
      </w:r>
      <w:r w:rsidRPr="006C1333">
        <w:rPr>
          <w:rFonts w:ascii="Cambria"/>
        </w:rPr>
        <w:t xml:space="preserve">Lacan, </w:t>
      </w:r>
      <w:r w:rsidRPr="006C1333">
        <w:rPr>
          <w:rFonts w:ascii="Cambria"/>
          <w:i/>
          <w:iCs/>
        </w:rPr>
        <w:t>É</w:t>
      </w:r>
      <w:r w:rsidRPr="006C1333">
        <w:rPr>
          <w:rFonts w:ascii="Cambria"/>
          <w:i/>
          <w:iCs/>
        </w:rPr>
        <w:t>crits</w:t>
      </w:r>
      <w:r w:rsidRPr="006C1333">
        <w:rPr>
          <w:rFonts w:ascii="Cambria"/>
        </w:rPr>
        <w:t>.</w:t>
      </w:r>
      <w:r>
        <w:fldChar w:fldCharType="end"/>
      </w:r>
    </w:p>
  </w:footnote>
  <w:footnote w:id="6">
    <w:p w14:paraId="171F346B" w14:textId="56E1FB4D" w:rsidR="001F536E" w:rsidRDefault="001F536E" w:rsidP="00F919D0">
      <w:pPr>
        <w:pStyle w:val="Notedebasdepage"/>
      </w:pPr>
      <w:r w:rsidRPr="007D760F">
        <w:rPr>
          <w:rStyle w:val="Appelnotedebasdep"/>
        </w:rPr>
        <w:footnoteRef/>
      </w:r>
      <w:r>
        <w:t xml:space="preserve"> </w:t>
      </w:r>
      <w:r>
        <w:fldChar w:fldCharType="begin"/>
      </w:r>
      <w:r>
        <w:instrText xml:space="preserve"> ADDIN ZOTERO_ITEM CSL_CITATION {"citationID":"6lIziO61","properties":{"formattedCitation":"{\\rtf Jacques Lacan, \\i Le S\\uc0\\u233{}minaire Livre 1\\uc0\\u8239{}: Les \\uc0\\u201{}crits Techniques de Freud\\i0{} (Seuil, 1974).}","plainCitation":"Jacques Lacan, Le Séminaire Livre 1 : Les Écrits Techniques de Freud (Seuil, 1974)."},"citationItems":[{"id":45,"uris":["http://zotero.org/users/local/YkkNgvwc/items/DHIVQXWB"],"uri":["http://zotero.org/users/local/YkkNgvwc/items/DHIVQXWB"],"itemData":{"id":45,"type":"book","title":"Le séminaire livre 1 : Les écrits techniques de Freud","publisher":"Seuil","number-of-pages":"313","source":"Amazon","shortTitle":"Le séminaire livre 1","author":[{"family":"Lacan","given":"Jacques"}],"issued":{"date-parts":[["1974",1,1]]}}}],"schema":"https://github.com/citation-style-language/schema/raw/master/csl-citation.json"} </w:instrText>
      </w:r>
      <w:r>
        <w:fldChar w:fldCharType="separate"/>
      </w:r>
      <w:r w:rsidR="003F4620">
        <w:rPr>
          <w:rFonts w:ascii="Cambria"/>
        </w:rPr>
        <w:t>J.</w:t>
      </w:r>
      <w:r w:rsidRPr="006C1333">
        <w:rPr>
          <w:rFonts w:ascii="Cambria"/>
        </w:rPr>
        <w:t xml:space="preserve"> Lacan, </w:t>
      </w:r>
      <w:r w:rsidRPr="006C1333">
        <w:rPr>
          <w:rFonts w:ascii="Cambria"/>
          <w:i/>
          <w:iCs/>
        </w:rPr>
        <w:t>Le S</w:t>
      </w:r>
      <w:r w:rsidRPr="006C1333">
        <w:rPr>
          <w:rFonts w:ascii="Cambria"/>
          <w:i/>
          <w:iCs/>
        </w:rPr>
        <w:t>é</w:t>
      </w:r>
      <w:r w:rsidRPr="006C1333">
        <w:rPr>
          <w:rFonts w:ascii="Cambria"/>
          <w:i/>
          <w:iCs/>
        </w:rPr>
        <w:t>minaire Livre 1</w:t>
      </w:r>
      <w:r w:rsidRPr="006C1333">
        <w:rPr>
          <w:rFonts w:ascii="Cambria"/>
          <w:i/>
          <w:iCs/>
        </w:rPr>
        <w:t> </w:t>
      </w:r>
      <w:r w:rsidRPr="006C1333">
        <w:rPr>
          <w:rFonts w:ascii="Cambria"/>
          <w:i/>
          <w:iCs/>
        </w:rPr>
        <w:t xml:space="preserve">: Les </w:t>
      </w:r>
      <w:r w:rsidRPr="006C1333">
        <w:rPr>
          <w:rFonts w:ascii="Cambria"/>
          <w:i/>
          <w:iCs/>
        </w:rPr>
        <w:t>É</w:t>
      </w:r>
      <w:r w:rsidRPr="006C1333">
        <w:rPr>
          <w:rFonts w:ascii="Cambria"/>
          <w:i/>
          <w:iCs/>
        </w:rPr>
        <w:t>crits Techniques de Freud</w:t>
      </w:r>
      <w:r w:rsidRPr="006C1333">
        <w:rPr>
          <w:rFonts w:ascii="Cambria"/>
        </w:rPr>
        <w:t xml:space="preserve"> (Seuil, 1974).</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E6"/>
    <w:rsid w:val="001C4CA7"/>
    <w:rsid w:val="001F536E"/>
    <w:rsid w:val="002B4C24"/>
    <w:rsid w:val="00323D51"/>
    <w:rsid w:val="003F4620"/>
    <w:rsid w:val="003F796B"/>
    <w:rsid w:val="004A076A"/>
    <w:rsid w:val="004B0C57"/>
    <w:rsid w:val="004D60BB"/>
    <w:rsid w:val="006B12BB"/>
    <w:rsid w:val="006D240B"/>
    <w:rsid w:val="008D439A"/>
    <w:rsid w:val="0092542C"/>
    <w:rsid w:val="009871BF"/>
    <w:rsid w:val="009D721A"/>
    <w:rsid w:val="00A705E6"/>
    <w:rsid w:val="00A942A6"/>
    <w:rsid w:val="00AA0131"/>
    <w:rsid w:val="00AF56C4"/>
    <w:rsid w:val="00B8620B"/>
    <w:rsid w:val="00BD7D31"/>
    <w:rsid w:val="00BE6B43"/>
    <w:rsid w:val="00C1603E"/>
    <w:rsid w:val="00C843E6"/>
    <w:rsid w:val="00CA5C5A"/>
    <w:rsid w:val="00CD1CC3"/>
    <w:rsid w:val="00DD76B3"/>
    <w:rsid w:val="00E9491B"/>
    <w:rsid w:val="00F12BDE"/>
    <w:rsid w:val="00F919D0"/>
    <w:rsid w:val="00F91E54"/>
    <w:rsid w:val="00F972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DE5F"/>
  <w15:docId w15:val="{A7CA3E55-C6F3-48CD-B0CA-45441E81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E6"/>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91E54"/>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unhideWhenUsed/>
    <w:rsid w:val="00F919D0"/>
    <w:rPr>
      <w:sz w:val="20"/>
      <w:szCs w:val="20"/>
    </w:rPr>
  </w:style>
  <w:style w:type="character" w:customStyle="1" w:styleId="NotedebasdepageCar">
    <w:name w:val="Note de bas de page Car"/>
    <w:basedOn w:val="Policepardfaut"/>
    <w:link w:val="Notedebasdepage"/>
    <w:uiPriority w:val="99"/>
    <w:rsid w:val="00F919D0"/>
    <w:rPr>
      <w:rFonts w:ascii="Calibri" w:hAnsi="Calibri" w:cs="Times New Roman"/>
      <w:sz w:val="20"/>
      <w:szCs w:val="20"/>
    </w:rPr>
  </w:style>
  <w:style w:type="character" w:styleId="Appelnotedebasdep">
    <w:name w:val="footnote reference"/>
    <w:basedOn w:val="Policepardfaut"/>
    <w:uiPriority w:val="99"/>
    <w:unhideWhenUsed/>
    <w:rsid w:val="00F919D0"/>
    <w:rPr>
      <w:vertAlign w:val="superscript"/>
    </w:rPr>
  </w:style>
  <w:style w:type="paragraph" w:styleId="En-tte">
    <w:name w:val="header"/>
    <w:basedOn w:val="Normal"/>
    <w:link w:val="En-tteCar"/>
    <w:uiPriority w:val="99"/>
    <w:unhideWhenUsed/>
    <w:rsid w:val="00F97244"/>
    <w:pPr>
      <w:tabs>
        <w:tab w:val="center" w:pos="4536"/>
        <w:tab w:val="right" w:pos="9072"/>
      </w:tabs>
    </w:pPr>
  </w:style>
  <w:style w:type="character" w:customStyle="1" w:styleId="En-tteCar">
    <w:name w:val="En-tête Car"/>
    <w:basedOn w:val="Policepardfaut"/>
    <w:link w:val="En-tte"/>
    <w:uiPriority w:val="99"/>
    <w:rsid w:val="00F97244"/>
    <w:rPr>
      <w:rFonts w:ascii="Calibri" w:hAnsi="Calibri" w:cs="Times New Roman"/>
    </w:rPr>
  </w:style>
  <w:style w:type="paragraph" w:styleId="Pieddepage">
    <w:name w:val="footer"/>
    <w:basedOn w:val="Normal"/>
    <w:link w:val="PieddepageCar"/>
    <w:uiPriority w:val="99"/>
    <w:unhideWhenUsed/>
    <w:rsid w:val="00F97244"/>
    <w:pPr>
      <w:tabs>
        <w:tab w:val="center" w:pos="4536"/>
        <w:tab w:val="right" w:pos="9072"/>
      </w:tabs>
    </w:pPr>
  </w:style>
  <w:style w:type="character" w:customStyle="1" w:styleId="PieddepageCar">
    <w:name w:val="Pied de page Car"/>
    <w:basedOn w:val="Policepardfaut"/>
    <w:link w:val="Pieddepage"/>
    <w:uiPriority w:val="99"/>
    <w:rsid w:val="00F9724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4300">
      <w:bodyDiv w:val="1"/>
      <w:marLeft w:val="0"/>
      <w:marRight w:val="0"/>
      <w:marTop w:val="0"/>
      <w:marBottom w:val="0"/>
      <w:divBdr>
        <w:top w:val="none" w:sz="0" w:space="0" w:color="auto"/>
        <w:left w:val="none" w:sz="0" w:space="0" w:color="auto"/>
        <w:bottom w:val="none" w:sz="0" w:space="0" w:color="auto"/>
        <w:right w:val="none" w:sz="0" w:space="0" w:color="auto"/>
      </w:divBdr>
    </w:div>
    <w:div w:id="3265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5297F-F478-435E-958E-3FC3EF89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1274</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RIEDLIN Guillaume</dc:creator>
  <cp:lastModifiedBy>Evelyne Kieffer</cp:lastModifiedBy>
  <cp:revision>4</cp:revision>
  <dcterms:created xsi:type="dcterms:W3CDTF">2020-04-22T13:01:00Z</dcterms:created>
  <dcterms:modified xsi:type="dcterms:W3CDTF">2020-04-22T19:04:00Z</dcterms:modified>
</cp:coreProperties>
</file>